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160DD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160DD" w:rsidRPr="007160DD" w:rsidRDefault="007160DD" w:rsidP="007160DD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7160DD">
        <w:rPr>
          <w:b/>
          <w:bCs/>
          <w:color w:val="333333"/>
          <w:sz w:val="28"/>
          <w:szCs w:val="28"/>
        </w:rPr>
        <w:t xml:space="preserve">Введена ответственность операторов связи за нарушение запрета на подмену номера и отказ от блокировки номеров </w:t>
      </w:r>
    </w:p>
    <w:bookmarkEnd w:id="0"/>
    <w:p w:rsidR="007160DD" w:rsidRPr="007160DD" w:rsidRDefault="007160DD" w:rsidP="007160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Увеличение количества звонков и смс-сообщений, поступающих гражданам от злоумышленников, представляющихся сотрудниками банка, работниками правоохранительных органов в условиях подмены номеров телефонов с целью хищения денежных средств, соответственно, повлекло рост преступлений с использованием указанного способа.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В целях предотвращения нарушений запрета на подмену номера Федеральным законом от 30.12.2021 № 480-ФЗ «О внесении изменений в Кодекс Российской Федерации об административных правонарушениях» введена статья 13.2.1, предусматривающая ответственность за неисполнение оператором связи обязанности по передаче в неизменном виде абонентского номера и (или) уникального кода идентификации в случаях, предусмотренных законодательством Российской Федерации в области связи.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Совершение указанного административного правонарушения влечет наложение административного штрафа на должностных лиц в размере от 30 000 до 80 000 рублей; на индивидуальных предпринимателей - от 200 000 до 500 000 рублей; на юридических лиц - от 500 000 до 800 000 рублей.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Частью 2 ст. 13.2.1 КоАП РФ предусмотрена административная ответственность за неисполнение оператором связи обязанности по прекращению оказания услуг связи и (или) услуг по пропуску трафика в свою сеть связи в случаях, предусмотренных законодательством Российской Федерации в области связи.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В случае совершения указанного административного правонарушения, судом будет решен вопрос о наложении административного штрафа на должностных лиц в размере от 50 000 до 100 000 рублей; на индивидуальных предпринимателей - от 400 000 до 800 000 рублей; на юридических лиц - от 600 000 до 1 000 000 рублей.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Федеральный закон вступил в силу 30.12.2021.</w:t>
      </w:r>
    </w:p>
    <w:p w:rsidR="001963CA" w:rsidRPr="007160DD" w:rsidRDefault="001963CA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22F18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E0B0C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2022-02-07T09:32:00Z</dcterms:created>
  <dcterms:modified xsi:type="dcterms:W3CDTF">2022-03-03T10:08:00Z</dcterms:modified>
</cp:coreProperties>
</file>